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62" w:rsidRDefault="00C809FA" w:rsidP="00C809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FAIR SHARE HOUSING CENTER</w:t>
      </w:r>
      <w:r w:rsidR="004A2E62">
        <w:rPr>
          <w:rFonts w:ascii="Times New Roman" w:hAnsi="Times New Roman" w:cs="Times New Roman"/>
          <w:b/>
          <w:sz w:val="24"/>
          <w:szCs w:val="24"/>
        </w:rPr>
        <w:t xml:space="preserve"> EMPLOYS </w:t>
      </w:r>
      <w:r>
        <w:rPr>
          <w:rFonts w:ascii="Times New Roman" w:hAnsi="Times New Roman" w:cs="Times New Roman"/>
          <w:b/>
          <w:sz w:val="24"/>
          <w:szCs w:val="24"/>
        </w:rPr>
        <w:t xml:space="preserve">FULL COURT PRESS </w:t>
      </w:r>
    </w:p>
    <w:p w:rsidR="00072471" w:rsidRDefault="00C809FA" w:rsidP="00C809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4A2E62">
        <w:rPr>
          <w:rFonts w:ascii="Times New Roman" w:hAnsi="Times New Roman" w:cs="Times New Roman"/>
          <w:b/>
          <w:sz w:val="24"/>
          <w:szCs w:val="24"/>
        </w:rPr>
        <w:t xml:space="preserve">NEW JERSEY </w:t>
      </w:r>
      <w:r>
        <w:rPr>
          <w:rFonts w:ascii="Times New Roman" w:hAnsi="Times New Roman" w:cs="Times New Roman"/>
          <w:b/>
          <w:sz w:val="24"/>
          <w:szCs w:val="24"/>
        </w:rPr>
        <w:t>MUNICIPALITIES</w:t>
      </w:r>
    </w:p>
    <w:p w:rsidR="00C809FA" w:rsidRDefault="00C809FA" w:rsidP="00C809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62" w:rsidRPr="00CB6C65" w:rsidRDefault="004A2E62" w:rsidP="004A2E62">
      <w:pPr>
        <w:rPr>
          <w:rFonts w:ascii="Times New Roman" w:hAnsi="Times New Roman"/>
          <w:color w:val="1F497D"/>
          <w:sz w:val="24"/>
          <w:szCs w:val="24"/>
          <w:u w:val="single"/>
        </w:rPr>
      </w:pPr>
      <w:r w:rsidRPr="00CB6C65">
        <w:rPr>
          <w:rFonts w:ascii="Times New Roman" w:hAnsi="Times New Roman"/>
          <w:color w:val="1F497D"/>
          <w:sz w:val="24"/>
          <w:szCs w:val="24"/>
        </w:rPr>
        <w:t>New Jersey municipalities have been digesting our Supreme Court’s latest ruling</w:t>
      </w:r>
      <w:r w:rsidR="0007229D">
        <w:rPr>
          <w:rFonts w:ascii="Times New Roman" w:hAnsi="Times New Roman"/>
          <w:color w:val="1F497D"/>
          <w:sz w:val="24"/>
          <w:szCs w:val="24"/>
        </w:rPr>
        <w:t>, which now has our</w:t>
      </w:r>
      <w:r w:rsidR="008B6912">
        <w:rPr>
          <w:rFonts w:ascii="Times New Roman" w:hAnsi="Times New Roman"/>
          <w:color w:val="1F497D"/>
          <w:sz w:val="24"/>
          <w:szCs w:val="24"/>
        </w:rPr>
        <w:t xml:space="preserve"> Courts</w:t>
      </w:r>
      <w:r w:rsidR="0007229D">
        <w:rPr>
          <w:rFonts w:ascii="Times New Roman" w:hAnsi="Times New Roman"/>
          <w:color w:val="1F497D"/>
          <w:sz w:val="24"/>
          <w:szCs w:val="24"/>
        </w:rPr>
        <w:t xml:space="preserve"> substituting in the role of the </w:t>
      </w:r>
      <w:r w:rsidRPr="00CB6C65">
        <w:rPr>
          <w:rFonts w:ascii="Times New Roman" w:hAnsi="Times New Roman"/>
          <w:color w:val="1F497D"/>
          <w:sz w:val="24"/>
          <w:szCs w:val="24"/>
        </w:rPr>
        <w:t>Council on Affordable Housing (COAH)</w:t>
      </w:r>
      <w:r w:rsidR="006203E0" w:rsidRPr="00CB6C65">
        <w:rPr>
          <w:rFonts w:ascii="Times New Roman" w:hAnsi="Times New Roman"/>
          <w:color w:val="1F497D"/>
          <w:sz w:val="24"/>
          <w:szCs w:val="24"/>
        </w:rPr>
        <w:t>.</w:t>
      </w:r>
      <w:r w:rsidRPr="00CB6C65">
        <w:rPr>
          <w:rFonts w:ascii="Times New Roman" w:hAnsi="Times New Roman"/>
          <w:color w:val="1F497D"/>
          <w:sz w:val="24"/>
          <w:szCs w:val="24"/>
        </w:rPr>
        <w:t xml:space="preserve"> </w:t>
      </w:r>
      <w:proofErr w:type="gramStart"/>
      <w:r w:rsidR="006203E0" w:rsidRPr="00CB6C65">
        <w:rPr>
          <w:rFonts w:ascii="Times New Roman" w:hAnsi="Times New Roman"/>
          <w:color w:val="1F497D"/>
          <w:sz w:val="24"/>
          <w:szCs w:val="24"/>
          <w:u w:val="single"/>
        </w:rPr>
        <w:t>In re Adoption of N.J.A.C. 5:</w:t>
      </w:r>
      <w:r w:rsidRPr="00CB6C65">
        <w:rPr>
          <w:rFonts w:ascii="Times New Roman" w:hAnsi="Times New Roman"/>
          <w:color w:val="1F497D"/>
          <w:sz w:val="24"/>
          <w:szCs w:val="24"/>
          <w:u w:val="single"/>
        </w:rPr>
        <w:t>96</w:t>
      </w:r>
      <w:r w:rsidR="006203E0" w:rsidRPr="00CB6C65">
        <w:rPr>
          <w:rFonts w:ascii="Times New Roman" w:hAnsi="Times New Roman"/>
          <w:color w:val="1F497D"/>
          <w:sz w:val="24"/>
          <w:szCs w:val="24"/>
          <w:u w:val="single"/>
        </w:rPr>
        <w:t xml:space="preserve"> and 5:97 by N.J. Council on Affordable Housing, </w:t>
      </w:r>
      <w:r w:rsidR="006203E0" w:rsidRPr="00CB6C65">
        <w:rPr>
          <w:rFonts w:ascii="Times New Roman" w:hAnsi="Times New Roman"/>
          <w:color w:val="1F497D"/>
          <w:sz w:val="24"/>
          <w:szCs w:val="24"/>
        </w:rPr>
        <w:t xml:space="preserve">221 </w:t>
      </w:r>
      <w:r w:rsidR="006203E0" w:rsidRPr="00CB6C65">
        <w:rPr>
          <w:rFonts w:ascii="Times New Roman" w:hAnsi="Times New Roman"/>
          <w:color w:val="1F497D"/>
          <w:sz w:val="24"/>
          <w:szCs w:val="24"/>
          <w:u w:val="single"/>
        </w:rPr>
        <w:t>N.J.</w:t>
      </w:r>
      <w:r w:rsidR="006203E0" w:rsidRPr="00CB6C65">
        <w:rPr>
          <w:rFonts w:ascii="Times New Roman" w:hAnsi="Times New Roman"/>
          <w:color w:val="1F497D"/>
          <w:sz w:val="24"/>
          <w:szCs w:val="24"/>
        </w:rPr>
        <w:t xml:space="preserve"> 1 (2015).</w:t>
      </w:r>
      <w:proofErr w:type="gramEnd"/>
      <w:r w:rsidR="006203E0" w:rsidRPr="00CB6C65">
        <w:rPr>
          <w:rFonts w:ascii="Times New Roman" w:hAnsi="Times New Roman"/>
          <w:color w:val="1F497D"/>
          <w:sz w:val="24"/>
          <w:szCs w:val="24"/>
        </w:rPr>
        <w:t xml:space="preserve">  Now, they may have a bigger problem. </w:t>
      </w:r>
      <w:r w:rsidR="00DC15D9">
        <w:rPr>
          <w:rFonts w:ascii="Times New Roman" w:hAnsi="Times New Roman"/>
          <w:color w:val="1F497D"/>
          <w:sz w:val="24"/>
          <w:szCs w:val="24"/>
        </w:rPr>
        <w:t xml:space="preserve"> Fair Share Housing Center (FSHC</w:t>
      </w:r>
      <w:r w:rsidR="006203E0" w:rsidRPr="00CB6C65">
        <w:rPr>
          <w:rFonts w:ascii="Times New Roman" w:hAnsi="Times New Roman"/>
          <w:color w:val="1F497D"/>
          <w:sz w:val="24"/>
          <w:szCs w:val="24"/>
        </w:rPr>
        <w:t>) has</w:t>
      </w:r>
      <w:r w:rsidR="0007229D">
        <w:rPr>
          <w:rFonts w:ascii="Times New Roman" w:hAnsi="Times New Roman"/>
          <w:color w:val="1F497D"/>
          <w:sz w:val="24"/>
          <w:szCs w:val="24"/>
        </w:rPr>
        <w:t xml:space="preserve"> appointed itself</w:t>
      </w:r>
      <w:r w:rsidR="006203E0" w:rsidRPr="00CB6C65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8B6912">
        <w:rPr>
          <w:rFonts w:ascii="Times New Roman" w:hAnsi="Times New Roman"/>
          <w:color w:val="1F497D"/>
          <w:sz w:val="24"/>
          <w:szCs w:val="24"/>
        </w:rPr>
        <w:t xml:space="preserve">the </w:t>
      </w:r>
      <w:r w:rsidR="006203E0" w:rsidRPr="00CB6C65">
        <w:rPr>
          <w:rFonts w:ascii="Times New Roman" w:hAnsi="Times New Roman"/>
          <w:i/>
          <w:color w:val="1F497D"/>
          <w:sz w:val="24"/>
          <w:szCs w:val="24"/>
        </w:rPr>
        <w:t>de facto</w:t>
      </w:r>
      <w:r w:rsidR="006203E0" w:rsidRPr="00CB6C65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8E58D7">
        <w:rPr>
          <w:rFonts w:ascii="Times New Roman" w:hAnsi="Times New Roman"/>
          <w:color w:val="1F497D"/>
          <w:sz w:val="24"/>
          <w:szCs w:val="24"/>
        </w:rPr>
        <w:t xml:space="preserve">statewide </w:t>
      </w:r>
      <w:r w:rsidR="006203E0" w:rsidRPr="00CB6C65">
        <w:rPr>
          <w:rFonts w:ascii="Times New Roman" w:hAnsi="Times New Roman"/>
          <w:color w:val="1F497D"/>
          <w:sz w:val="24"/>
          <w:szCs w:val="24"/>
        </w:rPr>
        <w:t xml:space="preserve">enforcer of the </w:t>
      </w:r>
      <w:r w:rsidR="006203E0" w:rsidRPr="00CB6C65">
        <w:rPr>
          <w:rFonts w:ascii="Times New Roman" w:hAnsi="Times New Roman"/>
          <w:color w:val="1F497D"/>
          <w:sz w:val="24"/>
          <w:szCs w:val="24"/>
          <w:u w:val="single"/>
        </w:rPr>
        <w:t>Mount Laurel</w:t>
      </w:r>
      <w:r w:rsidR="006203E0" w:rsidRPr="00CB6C65">
        <w:rPr>
          <w:rFonts w:ascii="Times New Roman" w:hAnsi="Times New Roman"/>
          <w:color w:val="1F497D"/>
          <w:sz w:val="24"/>
          <w:szCs w:val="24"/>
        </w:rPr>
        <w:t xml:space="preserve"> Doctrine</w:t>
      </w:r>
      <w:r w:rsidR="0082164C">
        <w:rPr>
          <w:rFonts w:ascii="Times New Roman" w:hAnsi="Times New Roman"/>
          <w:color w:val="1F497D"/>
          <w:sz w:val="24"/>
          <w:szCs w:val="24"/>
        </w:rPr>
        <w:t xml:space="preserve"> and the</w:t>
      </w:r>
      <w:r w:rsidR="0098056B">
        <w:rPr>
          <w:rFonts w:ascii="Times New Roman" w:hAnsi="Times New Roman"/>
          <w:color w:val="1F497D"/>
          <w:sz w:val="24"/>
          <w:szCs w:val="24"/>
        </w:rPr>
        <w:t xml:space="preserve"> non-profit</w:t>
      </w:r>
      <w:r w:rsidR="00823179">
        <w:rPr>
          <w:rFonts w:ascii="Times New Roman" w:hAnsi="Times New Roman"/>
          <w:color w:val="1F497D"/>
          <w:sz w:val="24"/>
          <w:szCs w:val="24"/>
        </w:rPr>
        <w:t xml:space="preserve"> appears</w:t>
      </w:r>
      <w:r w:rsidR="0098056B">
        <w:rPr>
          <w:rFonts w:ascii="Times New Roman" w:hAnsi="Times New Roman"/>
          <w:color w:val="1F497D"/>
          <w:sz w:val="24"/>
          <w:szCs w:val="24"/>
        </w:rPr>
        <w:t xml:space="preserve"> highly motivated to seek results</w:t>
      </w:r>
      <w:r w:rsidR="006203E0" w:rsidRPr="00CB6C65">
        <w:rPr>
          <w:rFonts w:ascii="Times New Roman" w:hAnsi="Times New Roman"/>
          <w:color w:val="1F497D"/>
          <w:sz w:val="24"/>
          <w:szCs w:val="24"/>
        </w:rPr>
        <w:t xml:space="preserve">. </w:t>
      </w:r>
      <w:r w:rsidR="006203E0" w:rsidRPr="00CB6C65">
        <w:rPr>
          <w:rFonts w:ascii="Times New Roman" w:hAnsi="Times New Roman"/>
          <w:color w:val="1F497D"/>
          <w:sz w:val="24"/>
          <w:szCs w:val="24"/>
          <w:u w:val="single"/>
        </w:rPr>
        <w:t xml:space="preserve"> </w:t>
      </w:r>
    </w:p>
    <w:p w:rsidR="006203E0" w:rsidRPr="00CB6C65" w:rsidRDefault="006203E0" w:rsidP="004A2E62">
      <w:pPr>
        <w:rPr>
          <w:rFonts w:ascii="Times New Roman" w:hAnsi="Times New Roman"/>
          <w:color w:val="1F497D"/>
          <w:sz w:val="24"/>
          <w:szCs w:val="24"/>
          <w:u w:val="single"/>
        </w:rPr>
      </w:pPr>
    </w:p>
    <w:p w:rsidR="0007229D" w:rsidRDefault="006203E0" w:rsidP="004A2E62">
      <w:pPr>
        <w:rPr>
          <w:rFonts w:ascii="Times New Roman" w:hAnsi="Times New Roman"/>
          <w:color w:val="1F497D"/>
          <w:sz w:val="24"/>
          <w:szCs w:val="24"/>
        </w:rPr>
      </w:pPr>
      <w:r w:rsidRPr="00CB6C65">
        <w:rPr>
          <w:rFonts w:ascii="Times New Roman" w:hAnsi="Times New Roman"/>
          <w:color w:val="1F497D"/>
          <w:sz w:val="24"/>
          <w:szCs w:val="24"/>
        </w:rPr>
        <w:t>Starting with the very first trial court decision on five-month temporary immunity</w:t>
      </w:r>
      <w:r w:rsidR="0007229D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114C0E">
        <w:rPr>
          <w:rFonts w:ascii="Times New Roman" w:hAnsi="Times New Roman"/>
          <w:color w:val="1F497D"/>
          <w:sz w:val="24"/>
          <w:szCs w:val="24"/>
        </w:rPr>
        <w:t xml:space="preserve">(in Monroe Township, </w:t>
      </w:r>
      <w:r w:rsidR="0007229D">
        <w:rPr>
          <w:rFonts w:ascii="Times New Roman" w:hAnsi="Times New Roman"/>
          <w:color w:val="1F497D"/>
          <w:sz w:val="24"/>
          <w:szCs w:val="24"/>
        </w:rPr>
        <w:t>Middlesex County)</w:t>
      </w:r>
      <w:r w:rsidRPr="00CB6C65">
        <w:rPr>
          <w:rFonts w:ascii="Times New Roman" w:hAnsi="Times New Roman"/>
          <w:color w:val="1F497D"/>
          <w:sz w:val="24"/>
          <w:szCs w:val="24"/>
        </w:rPr>
        <w:t>,</w:t>
      </w:r>
      <w:r w:rsidR="0007229D">
        <w:rPr>
          <w:rFonts w:ascii="Times New Roman" w:hAnsi="Times New Roman"/>
          <w:color w:val="1F497D"/>
          <w:sz w:val="24"/>
          <w:szCs w:val="24"/>
        </w:rPr>
        <w:t xml:space="preserve"> FSHC has unveiled its plan</w:t>
      </w:r>
      <w:r w:rsidRPr="00CB6C65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4A2E62" w:rsidRPr="00CB6C65">
        <w:rPr>
          <w:rFonts w:ascii="Times New Roman" w:hAnsi="Times New Roman"/>
          <w:color w:val="1F497D"/>
          <w:sz w:val="24"/>
          <w:szCs w:val="24"/>
        </w:rPr>
        <w:t xml:space="preserve">to </w:t>
      </w:r>
      <w:r w:rsidR="003C14B1" w:rsidRPr="00CB6C65">
        <w:rPr>
          <w:rFonts w:ascii="Times New Roman" w:hAnsi="Times New Roman"/>
          <w:color w:val="1F497D"/>
          <w:sz w:val="24"/>
          <w:szCs w:val="24"/>
        </w:rPr>
        <w:t xml:space="preserve">litigate and </w:t>
      </w:r>
      <w:r w:rsidR="004A2E62" w:rsidRPr="00CB6C65">
        <w:rPr>
          <w:rFonts w:ascii="Times New Roman" w:hAnsi="Times New Roman"/>
          <w:color w:val="1F497D"/>
          <w:sz w:val="24"/>
          <w:szCs w:val="24"/>
        </w:rPr>
        <w:t>compel municipal</w:t>
      </w:r>
      <w:r w:rsidRPr="00CB6C65">
        <w:rPr>
          <w:rFonts w:ascii="Times New Roman" w:hAnsi="Times New Roman"/>
          <w:color w:val="1F497D"/>
          <w:sz w:val="24"/>
          <w:szCs w:val="24"/>
        </w:rPr>
        <w:t>ities</w:t>
      </w:r>
      <w:r w:rsidR="003C14B1" w:rsidRPr="00CB6C65">
        <w:rPr>
          <w:rFonts w:ascii="Times New Roman" w:hAnsi="Times New Roman"/>
          <w:color w:val="1F497D"/>
          <w:sz w:val="24"/>
          <w:szCs w:val="24"/>
        </w:rPr>
        <w:t xml:space="preserve"> to </w:t>
      </w:r>
      <w:r w:rsidR="0098056B">
        <w:rPr>
          <w:rFonts w:ascii="Times New Roman" w:hAnsi="Times New Roman"/>
          <w:color w:val="1F497D"/>
          <w:sz w:val="24"/>
          <w:szCs w:val="24"/>
        </w:rPr>
        <w:t>get everything accomplished to meet the Supreme Court’s directive</w:t>
      </w:r>
      <w:r w:rsidR="0082164C">
        <w:rPr>
          <w:rFonts w:ascii="Times New Roman" w:hAnsi="Times New Roman"/>
          <w:color w:val="1F497D"/>
          <w:sz w:val="24"/>
          <w:szCs w:val="24"/>
        </w:rPr>
        <w:t>s</w:t>
      </w:r>
      <w:r w:rsidRPr="00CB6C65">
        <w:rPr>
          <w:rFonts w:ascii="Times New Roman" w:hAnsi="Times New Roman"/>
          <w:color w:val="1F497D"/>
          <w:sz w:val="24"/>
          <w:szCs w:val="24"/>
        </w:rPr>
        <w:t xml:space="preserve"> within 150 days.  </w:t>
      </w:r>
      <w:r w:rsidR="003C14B1" w:rsidRPr="00CB6C65">
        <w:rPr>
          <w:rFonts w:ascii="Times New Roman" w:hAnsi="Times New Roman"/>
          <w:color w:val="1F497D"/>
          <w:sz w:val="24"/>
          <w:szCs w:val="24"/>
        </w:rPr>
        <w:t>FSHC wants municipalities to calculate their</w:t>
      </w:r>
      <w:r w:rsidR="004A2E62" w:rsidRPr="00CB6C65">
        <w:rPr>
          <w:rFonts w:ascii="Times New Roman" w:hAnsi="Times New Roman"/>
          <w:color w:val="1F497D"/>
          <w:sz w:val="24"/>
          <w:szCs w:val="24"/>
        </w:rPr>
        <w:t xml:space="preserve"> own </w:t>
      </w:r>
      <w:r w:rsidR="003C14B1" w:rsidRPr="00CB6C65">
        <w:rPr>
          <w:rFonts w:ascii="Times New Roman" w:hAnsi="Times New Roman"/>
          <w:color w:val="1F497D"/>
          <w:sz w:val="24"/>
          <w:szCs w:val="24"/>
        </w:rPr>
        <w:t xml:space="preserve">respective </w:t>
      </w:r>
      <w:r w:rsidR="004A2E62" w:rsidRPr="00CB6C65">
        <w:rPr>
          <w:rFonts w:ascii="Times New Roman" w:hAnsi="Times New Roman"/>
          <w:color w:val="1F497D"/>
          <w:sz w:val="24"/>
          <w:szCs w:val="24"/>
        </w:rPr>
        <w:t>fai</w:t>
      </w:r>
      <w:r w:rsidR="0007229D">
        <w:rPr>
          <w:rFonts w:ascii="Times New Roman" w:hAnsi="Times New Roman"/>
          <w:color w:val="1F497D"/>
          <w:sz w:val="24"/>
          <w:szCs w:val="24"/>
        </w:rPr>
        <w:t>r share obligation and adopt a housing e</w:t>
      </w:r>
      <w:r w:rsidR="004A2E62" w:rsidRPr="00CB6C65">
        <w:rPr>
          <w:rFonts w:ascii="Times New Roman" w:hAnsi="Times New Roman"/>
          <w:color w:val="1F497D"/>
          <w:sz w:val="24"/>
          <w:szCs w:val="24"/>
        </w:rPr>
        <w:t xml:space="preserve">lement </w:t>
      </w:r>
      <w:r w:rsidR="0007229D">
        <w:rPr>
          <w:rFonts w:ascii="Times New Roman" w:hAnsi="Times New Roman"/>
          <w:color w:val="1F497D"/>
          <w:sz w:val="24"/>
          <w:szCs w:val="24"/>
        </w:rPr>
        <w:t>and fair share p</w:t>
      </w:r>
      <w:r w:rsidR="00BF31B4" w:rsidRPr="00CB6C65">
        <w:rPr>
          <w:rFonts w:ascii="Times New Roman" w:hAnsi="Times New Roman"/>
          <w:color w:val="1F497D"/>
          <w:sz w:val="24"/>
          <w:szCs w:val="24"/>
        </w:rPr>
        <w:t>lan, all within</w:t>
      </w:r>
      <w:r w:rsidR="003C14B1" w:rsidRPr="00CB6C65">
        <w:rPr>
          <w:rFonts w:ascii="Times New Roman" w:hAnsi="Times New Roman"/>
          <w:color w:val="1F497D"/>
          <w:sz w:val="24"/>
          <w:szCs w:val="24"/>
        </w:rPr>
        <w:t xml:space="preserve"> five (</w:t>
      </w:r>
      <w:r w:rsidR="004A2E62" w:rsidRPr="00CB6C65">
        <w:rPr>
          <w:rFonts w:ascii="Times New Roman" w:hAnsi="Times New Roman"/>
          <w:color w:val="1F497D"/>
          <w:sz w:val="24"/>
          <w:szCs w:val="24"/>
        </w:rPr>
        <w:t>5</w:t>
      </w:r>
      <w:r w:rsidR="008B6912">
        <w:rPr>
          <w:rFonts w:ascii="Times New Roman" w:hAnsi="Times New Roman"/>
          <w:color w:val="1F497D"/>
          <w:sz w:val="24"/>
          <w:szCs w:val="24"/>
        </w:rPr>
        <w:t>) months</w:t>
      </w:r>
      <w:r w:rsidR="003C14B1" w:rsidRPr="00CB6C65">
        <w:rPr>
          <w:rFonts w:ascii="Times New Roman" w:hAnsi="Times New Roman"/>
          <w:color w:val="1F497D"/>
          <w:sz w:val="24"/>
          <w:szCs w:val="24"/>
        </w:rPr>
        <w:t>.  In pursuing this fast-track</w:t>
      </w:r>
      <w:r w:rsidR="00DC15D9">
        <w:rPr>
          <w:rFonts w:ascii="Times New Roman" w:hAnsi="Times New Roman"/>
          <w:color w:val="1F497D"/>
          <w:sz w:val="24"/>
          <w:szCs w:val="24"/>
        </w:rPr>
        <w:t xml:space="preserve"> compliance</w:t>
      </w:r>
      <w:r w:rsidR="003C14B1" w:rsidRPr="00CB6C65">
        <w:rPr>
          <w:rFonts w:ascii="Times New Roman" w:hAnsi="Times New Roman"/>
          <w:color w:val="1F497D"/>
          <w:sz w:val="24"/>
          <w:szCs w:val="24"/>
        </w:rPr>
        <w:t>, FSHC</w:t>
      </w:r>
      <w:r w:rsidR="004A2E62" w:rsidRPr="00CB6C65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DC15D9">
        <w:rPr>
          <w:rFonts w:ascii="Times New Roman" w:hAnsi="Times New Roman"/>
          <w:color w:val="1F497D"/>
          <w:sz w:val="24"/>
          <w:szCs w:val="24"/>
        </w:rPr>
        <w:t>has filed (or threatened</w:t>
      </w:r>
      <w:r w:rsidR="003C14B1" w:rsidRPr="00CB6C65">
        <w:rPr>
          <w:rFonts w:ascii="Times New Roman" w:hAnsi="Times New Roman"/>
          <w:color w:val="1F497D"/>
          <w:sz w:val="24"/>
          <w:szCs w:val="24"/>
        </w:rPr>
        <w:t>) motions to intervene in a plethora of declaratory actions filed by municipalities, particularly those in</w:t>
      </w:r>
      <w:r w:rsidR="00DC15D9">
        <w:rPr>
          <w:rFonts w:ascii="Times New Roman" w:hAnsi="Times New Roman"/>
          <w:color w:val="1F497D"/>
          <w:sz w:val="24"/>
          <w:szCs w:val="24"/>
        </w:rPr>
        <w:t xml:space="preserve"> which municipalities are requesting</w:t>
      </w:r>
      <w:r w:rsidR="003C14B1" w:rsidRPr="00CB6C65">
        <w:rPr>
          <w:rFonts w:ascii="Times New Roman" w:hAnsi="Times New Roman"/>
          <w:color w:val="1F497D"/>
          <w:sz w:val="24"/>
          <w:szCs w:val="24"/>
        </w:rPr>
        <w:t xml:space="preserve"> for the </w:t>
      </w:r>
      <w:r w:rsidR="00BF31B4" w:rsidRPr="00CB6C65">
        <w:rPr>
          <w:rFonts w:ascii="Times New Roman" w:hAnsi="Times New Roman"/>
          <w:color w:val="1F497D"/>
          <w:sz w:val="24"/>
          <w:szCs w:val="24"/>
        </w:rPr>
        <w:t>Supreme Court’s “</w:t>
      </w:r>
      <w:r w:rsidR="003C14B1" w:rsidRPr="00CB6C65">
        <w:rPr>
          <w:rFonts w:ascii="Times New Roman" w:hAnsi="Times New Roman"/>
          <w:color w:val="1F497D"/>
          <w:sz w:val="24"/>
          <w:szCs w:val="24"/>
        </w:rPr>
        <w:t>five-month clock</w:t>
      </w:r>
      <w:r w:rsidR="00BF31B4" w:rsidRPr="00CB6C65">
        <w:rPr>
          <w:rFonts w:ascii="Times New Roman" w:hAnsi="Times New Roman"/>
          <w:color w:val="1F497D"/>
          <w:sz w:val="24"/>
          <w:szCs w:val="24"/>
        </w:rPr>
        <w:t>”</w:t>
      </w:r>
      <w:r w:rsidR="003C14B1" w:rsidRPr="00CB6C65">
        <w:rPr>
          <w:rFonts w:ascii="Times New Roman" w:hAnsi="Times New Roman"/>
          <w:color w:val="1F497D"/>
          <w:sz w:val="24"/>
          <w:szCs w:val="24"/>
        </w:rPr>
        <w:t xml:space="preserve"> to commence after the municipal fair share obligation is determined by the </w:t>
      </w:r>
      <w:r w:rsidR="00BF31B4" w:rsidRPr="00CB6C65">
        <w:rPr>
          <w:rFonts w:ascii="Times New Roman" w:hAnsi="Times New Roman"/>
          <w:color w:val="1F497D"/>
          <w:sz w:val="24"/>
          <w:szCs w:val="24"/>
        </w:rPr>
        <w:t>trial c</w:t>
      </w:r>
      <w:r w:rsidR="003C14B1" w:rsidRPr="00CB6C65">
        <w:rPr>
          <w:rFonts w:ascii="Times New Roman" w:hAnsi="Times New Roman"/>
          <w:color w:val="1F497D"/>
          <w:sz w:val="24"/>
          <w:szCs w:val="24"/>
        </w:rPr>
        <w:t xml:space="preserve">ourt.  </w:t>
      </w:r>
    </w:p>
    <w:p w:rsidR="0007229D" w:rsidRDefault="0007229D" w:rsidP="004A2E62">
      <w:pPr>
        <w:rPr>
          <w:rFonts w:ascii="Times New Roman" w:hAnsi="Times New Roman"/>
          <w:color w:val="1F497D"/>
          <w:sz w:val="24"/>
          <w:szCs w:val="24"/>
        </w:rPr>
      </w:pPr>
    </w:p>
    <w:p w:rsidR="004A2E62" w:rsidRPr="00CB6C65" w:rsidRDefault="003C14B1" w:rsidP="004A2E62">
      <w:pPr>
        <w:rPr>
          <w:rFonts w:ascii="Times New Roman" w:hAnsi="Times New Roman"/>
          <w:color w:val="1F497D"/>
          <w:sz w:val="24"/>
          <w:szCs w:val="24"/>
        </w:rPr>
      </w:pPr>
      <w:r w:rsidRPr="00CB6C65">
        <w:rPr>
          <w:rFonts w:ascii="Times New Roman" w:hAnsi="Times New Roman"/>
          <w:color w:val="1F497D"/>
          <w:sz w:val="24"/>
          <w:szCs w:val="24"/>
        </w:rPr>
        <w:t xml:space="preserve">Where it has elected to intervene, FSHC is </w:t>
      </w:r>
      <w:r w:rsidR="004A2E62" w:rsidRPr="00CB6C65">
        <w:rPr>
          <w:rFonts w:ascii="Times New Roman" w:hAnsi="Times New Roman"/>
          <w:color w:val="1F497D"/>
          <w:sz w:val="24"/>
          <w:szCs w:val="24"/>
        </w:rPr>
        <w:t>pushing its own projected fair share ca</w:t>
      </w:r>
      <w:r w:rsidRPr="00CB6C65">
        <w:rPr>
          <w:rFonts w:ascii="Times New Roman" w:hAnsi="Times New Roman"/>
          <w:color w:val="1F497D"/>
          <w:sz w:val="24"/>
          <w:szCs w:val="24"/>
        </w:rPr>
        <w:t xml:space="preserve">lculation for municipalities, </w:t>
      </w:r>
      <w:r w:rsidR="004A2E62" w:rsidRPr="00CB6C65">
        <w:rPr>
          <w:rFonts w:ascii="Times New Roman" w:hAnsi="Times New Roman"/>
          <w:color w:val="1F497D"/>
          <w:sz w:val="24"/>
          <w:szCs w:val="24"/>
        </w:rPr>
        <w:t>p</w:t>
      </w:r>
      <w:r w:rsidRPr="00CB6C65">
        <w:rPr>
          <w:rFonts w:ascii="Times New Roman" w:hAnsi="Times New Roman"/>
          <w:color w:val="1F497D"/>
          <w:sz w:val="24"/>
          <w:szCs w:val="24"/>
        </w:rPr>
        <w:t>repared by David Kinsey, P.P.</w:t>
      </w:r>
      <w:r w:rsidR="005A7C10">
        <w:rPr>
          <w:rFonts w:ascii="Times New Roman" w:hAnsi="Times New Roman"/>
          <w:color w:val="1F497D"/>
          <w:sz w:val="24"/>
          <w:szCs w:val="24"/>
        </w:rPr>
        <w:t>, whose has</w:t>
      </w:r>
      <w:r w:rsidRPr="00CB6C65">
        <w:rPr>
          <w:rFonts w:ascii="Times New Roman" w:hAnsi="Times New Roman"/>
          <w:color w:val="1F497D"/>
          <w:sz w:val="24"/>
          <w:szCs w:val="24"/>
        </w:rPr>
        <w:t xml:space="preserve"> been a long-time critic of COAH</w:t>
      </w:r>
      <w:r w:rsidR="00BF31B4" w:rsidRPr="00CB6C65">
        <w:rPr>
          <w:rFonts w:ascii="Times New Roman" w:hAnsi="Times New Roman"/>
          <w:color w:val="1F497D"/>
          <w:sz w:val="24"/>
          <w:szCs w:val="24"/>
        </w:rPr>
        <w:t xml:space="preserve"> and</w:t>
      </w:r>
      <w:r w:rsidRPr="00CB6C65">
        <w:rPr>
          <w:rFonts w:ascii="Times New Roman" w:hAnsi="Times New Roman"/>
          <w:color w:val="1F497D"/>
          <w:sz w:val="24"/>
          <w:szCs w:val="24"/>
        </w:rPr>
        <w:t xml:space="preserve">, to this author’s recollection, </w:t>
      </w:r>
      <w:r w:rsidR="0007229D">
        <w:rPr>
          <w:rFonts w:ascii="Times New Roman" w:hAnsi="Times New Roman"/>
          <w:color w:val="1F497D"/>
          <w:sz w:val="24"/>
          <w:szCs w:val="24"/>
        </w:rPr>
        <w:t xml:space="preserve">has </w:t>
      </w:r>
      <w:r w:rsidRPr="00CB6C65">
        <w:rPr>
          <w:rFonts w:ascii="Times New Roman" w:hAnsi="Times New Roman"/>
          <w:color w:val="1F497D"/>
          <w:sz w:val="24"/>
          <w:szCs w:val="24"/>
        </w:rPr>
        <w:t>made claims that COAH has long underestimated the need for affordable housing in New Jersey.  FSHC’s projected</w:t>
      </w:r>
      <w:r w:rsidR="008E58D7">
        <w:rPr>
          <w:rFonts w:ascii="Times New Roman" w:hAnsi="Times New Roman"/>
          <w:color w:val="1F497D"/>
          <w:sz w:val="24"/>
          <w:szCs w:val="24"/>
        </w:rPr>
        <w:t xml:space="preserve"> affordable housing numbers</w:t>
      </w:r>
      <w:r w:rsidR="00BF31B4" w:rsidRPr="00CB6C65">
        <w:rPr>
          <w:rFonts w:ascii="Times New Roman" w:hAnsi="Times New Roman"/>
          <w:color w:val="1F497D"/>
          <w:sz w:val="24"/>
          <w:szCs w:val="24"/>
        </w:rPr>
        <w:t xml:space="preserve"> have caused bewilderment in the </w:t>
      </w:r>
      <w:r w:rsidR="00853086">
        <w:rPr>
          <w:rFonts w:ascii="Times New Roman" w:hAnsi="Times New Roman"/>
          <w:color w:val="1F497D"/>
          <w:sz w:val="24"/>
          <w:szCs w:val="24"/>
        </w:rPr>
        <w:t>municipal community.  The disparity</w:t>
      </w:r>
      <w:r w:rsidR="00BF31B4" w:rsidRPr="00CB6C65">
        <w:rPr>
          <w:rFonts w:ascii="Times New Roman" w:hAnsi="Times New Roman"/>
          <w:color w:val="1F497D"/>
          <w:sz w:val="24"/>
          <w:szCs w:val="24"/>
        </w:rPr>
        <w:t xml:space="preserve"> between FSHC’s numbers an</w:t>
      </w:r>
      <w:r w:rsidR="008B6912">
        <w:rPr>
          <w:rFonts w:ascii="Times New Roman" w:hAnsi="Times New Roman"/>
          <w:color w:val="1F497D"/>
          <w:sz w:val="24"/>
          <w:szCs w:val="24"/>
        </w:rPr>
        <w:t>d municipal projections (from this</w:t>
      </w:r>
      <w:r w:rsidR="00BF31B4" w:rsidRPr="00CB6C65">
        <w:rPr>
          <w:rFonts w:ascii="Times New Roman" w:hAnsi="Times New Roman"/>
          <w:color w:val="1F497D"/>
          <w:sz w:val="24"/>
          <w:szCs w:val="24"/>
        </w:rPr>
        <w:t xml:space="preserve"> author’s </w:t>
      </w:r>
      <w:r w:rsidR="008B6912">
        <w:rPr>
          <w:rFonts w:ascii="Times New Roman" w:hAnsi="Times New Roman"/>
          <w:color w:val="1F497D"/>
          <w:sz w:val="24"/>
          <w:szCs w:val="24"/>
        </w:rPr>
        <w:t xml:space="preserve">particular </w:t>
      </w:r>
      <w:r w:rsidR="00BF31B4" w:rsidRPr="00CB6C65">
        <w:rPr>
          <w:rFonts w:ascii="Times New Roman" w:hAnsi="Times New Roman"/>
          <w:color w:val="1F497D"/>
          <w:sz w:val="24"/>
          <w:szCs w:val="24"/>
        </w:rPr>
        <w:t>experience</w:t>
      </w:r>
      <w:r w:rsidR="008B6912">
        <w:rPr>
          <w:rFonts w:ascii="Times New Roman" w:hAnsi="Times New Roman"/>
          <w:color w:val="1F497D"/>
          <w:sz w:val="24"/>
          <w:szCs w:val="24"/>
        </w:rPr>
        <w:t xml:space="preserve"> in representing two municipalities on motions for temporary </w:t>
      </w:r>
      <w:r w:rsidR="0007229D">
        <w:rPr>
          <w:rFonts w:ascii="Times New Roman" w:hAnsi="Times New Roman"/>
          <w:color w:val="1F497D"/>
          <w:sz w:val="24"/>
          <w:szCs w:val="24"/>
          <w:u w:val="single"/>
        </w:rPr>
        <w:t xml:space="preserve">Mount </w:t>
      </w:r>
      <w:r w:rsidR="0007229D" w:rsidRPr="0007229D">
        <w:rPr>
          <w:rFonts w:ascii="Times New Roman" w:hAnsi="Times New Roman"/>
          <w:color w:val="1F497D"/>
          <w:sz w:val="24"/>
          <w:szCs w:val="24"/>
          <w:u w:val="single"/>
        </w:rPr>
        <w:t>Laurel</w:t>
      </w:r>
      <w:r w:rsidR="0007229D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8B6912" w:rsidRPr="0007229D">
        <w:rPr>
          <w:rFonts w:ascii="Times New Roman" w:hAnsi="Times New Roman"/>
          <w:color w:val="1F497D"/>
          <w:sz w:val="24"/>
          <w:szCs w:val="24"/>
        </w:rPr>
        <w:t>immunity</w:t>
      </w:r>
      <w:r w:rsidR="00885AC7">
        <w:rPr>
          <w:rFonts w:ascii="Times New Roman" w:hAnsi="Times New Roman"/>
          <w:color w:val="1F497D"/>
          <w:sz w:val="24"/>
          <w:szCs w:val="24"/>
        </w:rPr>
        <w:t xml:space="preserve">) </w:t>
      </w:r>
      <w:r w:rsidR="0098056B">
        <w:rPr>
          <w:rFonts w:ascii="Times New Roman" w:hAnsi="Times New Roman"/>
          <w:color w:val="1F497D"/>
          <w:sz w:val="24"/>
          <w:szCs w:val="24"/>
        </w:rPr>
        <w:t xml:space="preserve">is </w:t>
      </w:r>
      <w:r w:rsidR="00885AC7">
        <w:rPr>
          <w:rFonts w:ascii="Times New Roman" w:hAnsi="Times New Roman"/>
          <w:color w:val="1F497D"/>
          <w:sz w:val="24"/>
          <w:szCs w:val="24"/>
        </w:rPr>
        <w:t>so significant that comp</w:t>
      </w:r>
      <w:r w:rsidR="0082164C">
        <w:rPr>
          <w:rFonts w:ascii="Times New Roman" w:hAnsi="Times New Roman"/>
          <w:color w:val="1F497D"/>
          <w:sz w:val="24"/>
          <w:szCs w:val="24"/>
        </w:rPr>
        <w:t>romise is not part of the conversation</w:t>
      </w:r>
      <w:r w:rsidR="002215BA">
        <w:rPr>
          <w:rFonts w:ascii="Times New Roman" w:hAnsi="Times New Roman"/>
          <w:color w:val="1F497D"/>
          <w:sz w:val="24"/>
          <w:szCs w:val="24"/>
        </w:rPr>
        <w:t>.</w:t>
      </w:r>
      <w:r w:rsidR="00BF31B4" w:rsidRPr="00CB6C65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BF31B4" w:rsidRPr="00CB6C65" w:rsidRDefault="00BF31B4" w:rsidP="004A2E62">
      <w:pPr>
        <w:rPr>
          <w:rFonts w:ascii="Times New Roman" w:hAnsi="Times New Roman"/>
          <w:color w:val="1F497D"/>
          <w:sz w:val="24"/>
          <w:szCs w:val="24"/>
        </w:rPr>
      </w:pPr>
    </w:p>
    <w:p w:rsidR="008B6912" w:rsidRDefault="00BF31B4" w:rsidP="004A2E62">
      <w:pPr>
        <w:rPr>
          <w:rFonts w:ascii="Times New Roman" w:hAnsi="Times New Roman"/>
          <w:color w:val="1F497D"/>
          <w:sz w:val="24"/>
          <w:szCs w:val="24"/>
        </w:rPr>
      </w:pPr>
      <w:r w:rsidRPr="00CB6C65">
        <w:rPr>
          <w:rFonts w:ascii="Times New Roman" w:hAnsi="Times New Roman"/>
          <w:color w:val="1F497D"/>
          <w:sz w:val="24"/>
          <w:szCs w:val="24"/>
        </w:rPr>
        <w:t xml:space="preserve">Complicating the </w:t>
      </w:r>
      <w:r w:rsidRPr="00CB6C65">
        <w:rPr>
          <w:rFonts w:ascii="Times New Roman" w:hAnsi="Times New Roman"/>
          <w:color w:val="1F497D"/>
          <w:sz w:val="24"/>
          <w:szCs w:val="24"/>
          <w:u w:val="single"/>
        </w:rPr>
        <w:t>Mount Laurel</w:t>
      </w:r>
      <w:r w:rsidRPr="00CB6C65">
        <w:rPr>
          <w:rFonts w:ascii="Times New Roman" w:hAnsi="Times New Roman"/>
          <w:i/>
          <w:color w:val="1F497D"/>
          <w:sz w:val="24"/>
          <w:szCs w:val="24"/>
        </w:rPr>
        <w:t xml:space="preserve"> </w:t>
      </w:r>
      <w:r w:rsidRPr="00CB6C65">
        <w:rPr>
          <w:rFonts w:ascii="Times New Roman" w:hAnsi="Times New Roman"/>
          <w:color w:val="1F497D"/>
          <w:sz w:val="24"/>
          <w:szCs w:val="24"/>
        </w:rPr>
        <w:t xml:space="preserve">roadmap further, FSHC has supplemented its </w:t>
      </w:r>
      <w:r w:rsidR="00992F66">
        <w:rPr>
          <w:rFonts w:ascii="Times New Roman" w:hAnsi="Times New Roman"/>
          <w:color w:val="1F497D"/>
          <w:sz w:val="24"/>
          <w:szCs w:val="24"/>
        </w:rPr>
        <w:t xml:space="preserve">intervention </w:t>
      </w:r>
      <w:r w:rsidRPr="00CB6C65">
        <w:rPr>
          <w:rFonts w:ascii="Times New Roman" w:hAnsi="Times New Roman"/>
          <w:color w:val="1F497D"/>
          <w:sz w:val="24"/>
          <w:szCs w:val="24"/>
        </w:rPr>
        <w:t>motions with</w:t>
      </w:r>
      <w:r w:rsidR="004A2E62" w:rsidRPr="00CB6C65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853086">
        <w:rPr>
          <w:rFonts w:ascii="Times New Roman" w:hAnsi="Times New Roman"/>
          <w:color w:val="1F497D"/>
          <w:sz w:val="24"/>
          <w:szCs w:val="24"/>
        </w:rPr>
        <w:t>counterclaim</w:t>
      </w:r>
      <w:r w:rsidR="002215BA">
        <w:rPr>
          <w:rFonts w:ascii="Times New Roman" w:hAnsi="Times New Roman"/>
          <w:color w:val="1F497D"/>
          <w:sz w:val="24"/>
          <w:szCs w:val="24"/>
        </w:rPr>
        <w:t>s</w:t>
      </w:r>
      <w:r w:rsidR="004A2E62" w:rsidRPr="00CB6C65">
        <w:rPr>
          <w:rFonts w:ascii="Times New Roman" w:hAnsi="Times New Roman"/>
          <w:color w:val="1F497D"/>
          <w:sz w:val="24"/>
          <w:szCs w:val="24"/>
        </w:rPr>
        <w:t xml:space="preserve"> again</w:t>
      </w:r>
      <w:r w:rsidR="00992F66">
        <w:rPr>
          <w:rFonts w:ascii="Times New Roman" w:hAnsi="Times New Roman"/>
          <w:color w:val="1F497D"/>
          <w:sz w:val="24"/>
          <w:szCs w:val="24"/>
        </w:rPr>
        <w:t>st municipalities</w:t>
      </w:r>
      <w:r w:rsidR="00853086">
        <w:rPr>
          <w:rFonts w:ascii="Times New Roman" w:hAnsi="Times New Roman"/>
          <w:color w:val="1F497D"/>
          <w:sz w:val="24"/>
          <w:szCs w:val="24"/>
        </w:rPr>
        <w:t xml:space="preserve"> pressing for an entirely</w:t>
      </w:r>
      <w:r w:rsidR="008B6912">
        <w:rPr>
          <w:rFonts w:ascii="Times New Roman" w:hAnsi="Times New Roman"/>
          <w:color w:val="1F497D"/>
          <w:sz w:val="24"/>
          <w:szCs w:val="24"/>
        </w:rPr>
        <w:t xml:space="preserve"> new </w:t>
      </w:r>
      <w:r w:rsidR="00853086">
        <w:rPr>
          <w:rFonts w:ascii="Times New Roman" w:hAnsi="Times New Roman"/>
          <w:color w:val="1F497D"/>
          <w:sz w:val="24"/>
          <w:szCs w:val="24"/>
        </w:rPr>
        <w:t xml:space="preserve">remedy </w:t>
      </w:r>
      <w:r w:rsidR="0007229D">
        <w:rPr>
          <w:rFonts w:ascii="Times New Roman" w:hAnsi="Times New Roman"/>
          <w:color w:val="1F497D"/>
          <w:sz w:val="24"/>
          <w:szCs w:val="24"/>
        </w:rPr>
        <w:t>that</w:t>
      </w:r>
      <w:r w:rsidRPr="00CB6C65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EF0EE9" w:rsidRPr="00CB6C65">
        <w:rPr>
          <w:rFonts w:ascii="Times New Roman" w:hAnsi="Times New Roman"/>
          <w:color w:val="1F497D"/>
          <w:sz w:val="24"/>
          <w:szCs w:val="24"/>
        </w:rPr>
        <w:t xml:space="preserve">any </w:t>
      </w:r>
      <w:r w:rsidRPr="00CB6C65">
        <w:rPr>
          <w:rFonts w:ascii="Times New Roman" w:hAnsi="Times New Roman"/>
          <w:color w:val="1F497D"/>
          <w:sz w:val="24"/>
          <w:szCs w:val="24"/>
        </w:rPr>
        <w:t xml:space="preserve">violation of the </w:t>
      </w:r>
      <w:r w:rsidRPr="00CB6C65">
        <w:rPr>
          <w:rFonts w:ascii="Times New Roman" w:hAnsi="Times New Roman"/>
          <w:color w:val="1F497D"/>
          <w:sz w:val="24"/>
          <w:szCs w:val="24"/>
          <w:u w:val="single"/>
        </w:rPr>
        <w:t>Mount Laurel</w:t>
      </w:r>
      <w:r w:rsidR="00EF0EE9" w:rsidRPr="00CB6C65">
        <w:rPr>
          <w:rFonts w:ascii="Times New Roman" w:hAnsi="Times New Roman"/>
          <w:color w:val="1F497D"/>
          <w:sz w:val="24"/>
          <w:szCs w:val="24"/>
        </w:rPr>
        <w:t xml:space="preserve"> Doctrine implicates a corresponding violation of the </w:t>
      </w:r>
      <w:r w:rsidR="00EF0EE9" w:rsidRPr="00CB6C65">
        <w:rPr>
          <w:rFonts w:ascii="Times New Roman" w:hAnsi="Times New Roman"/>
          <w:color w:val="1F497D"/>
          <w:sz w:val="24"/>
          <w:szCs w:val="24"/>
          <w:u w:val="single"/>
        </w:rPr>
        <w:t>New Jersey Civil Rights Act</w:t>
      </w:r>
      <w:r w:rsidR="008B6912">
        <w:rPr>
          <w:rFonts w:ascii="Times New Roman" w:hAnsi="Times New Roman"/>
          <w:color w:val="1F497D"/>
          <w:sz w:val="24"/>
          <w:szCs w:val="24"/>
        </w:rPr>
        <w:t xml:space="preserve">, </w:t>
      </w:r>
      <w:r w:rsidR="00EF0EE9" w:rsidRPr="00CB6C65">
        <w:rPr>
          <w:rFonts w:ascii="Times New Roman" w:hAnsi="Times New Roman"/>
          <w:color w:val="1F497D"/>
          <w:sz w:val="24"/>
          <w:szCs w:val="24"/>
        </w:rPr>
        <w:t>entitling the affordable non-profit to a</w:t>
      </w:r>
      <w:r w:rsidR="00885AC7">
        <w:rPr>
          <w:rFonts w:ascii="Times New Roman" w:hAnsi="Times New Roman"/>
          <w:color w:val="1F497D"/>
          <w:sz w:val="24"/>
          <w:szCs w:val="24"/>
        </w:rPr>
        <w:t>ttorney’s fees as a prevailing party</w:t>
      </w:r>
      <w:r w:rsidR="00EF0EE9" w:rsidRPr="00CB6C65">
        <w:rPr>
          <w:rFonts w:ascii="Times New Roman" w:hAnsi="Times New Roman"/>
          <w:color w:val="1F497D"/>
          <w:sz w:val="24"/>
          <w:szCs w:val="24"/>
        </w:rPr>
        <w:t>.</w:t>
      </w:r>
      <w:r w:rsidR="00885AC7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EF0EE9" w:rsidRPr="00CB6C65">
        <w:rPr>
          <w:rFonts w:ascii="Times New Roman" w:hAnsi="Times New Roman"/>
          <w:color w:val="1F497D"/>
          <w:sz w:val="24"/>
          <w:szCs w:val="24"/>
        </w:rPr>
        <w:t xml:space="preserve">  </w:t>
      </w:r>
    </w:p>
    <w:p w:rsidR="00885AC7" w:rsidRDefault="00885AC7" w:rsidP="004A2E62">
      <w:pPr>
        <w:rPr>
          <w:rFonts w:ascii="Times New Roman" w:hAnsi="Times New Roman"/>
          <w:color w:val="1F497D"/>
          <w:sz w:val="24"/>
          <w:szCs w:val="24"/>
        </w:rPr>
      </w:pPr>
    </w:p>
    <w:p w:rsidR="00853086" w:rsidRDefault="00885AC7" w:rsidP="004A2E62">
      <w:pPr>
        <w:rPr>
          <w:rFonts w:ascii="Times New Roman" w:hAnsi="Times New Roman"/>
          <w:color w:val="1F497D"/>
          <w:sz w:val="24"/>
          <w:szCs w:val="24"/>
        </w:rPr>
      </w:pPr>
      <w:proofErr w:type="gramStart"/>
      <w:r>
        <w:rPr>
          <w:rFonts w:ascii="Times New Roman" w:hAnsi="Times New Roman"/>
          <w:color w:val="1F497D"/>
          <w:sz w:val="24"/>
          <w:szCs w:val="24"/>
        </w:rPr>
        <w:t xml:space="preserve">In </w:t>
      </w:r>
      <w:r w:rsidR="00853086">
        <w:rPr>
          <w:rFonts w:ascii="Times New Roman" w:hAnsi="Times New Roman"/>
          <w:color w:val="1F497D"/>
          <w:sz w:val="24"/>
          <w:szCs w:val="24"/>
        </w:rPr>
        <w:t xml:space="preserve">the unpublished opinion of </w:t>
      </w:r>
      <w:r w:rsidRPr="002D50A5">
        <w:rPr>
          <w:rFonts w:ascii="Times New Roman" w:hAnsi="Times New Roman"/>
          <w:color w:val="1F497D"/>
          <w:sz w:val="24"/>
          <w:szCs w:val="24"/>
          <w:u w:val="single"/>
        </w:rPr>
        <w:t>In the Matter of the Application of Borough of Pine Beach, County of Ocean</w:t>
      </w:r>
      <w:r>
        <w:rPr>
          <w:rFonts w:ascii="Times New Roman" w:hAnsi="Times New Roman"/>
          <w:i/>
          <w:color w:val="1F497D"/>
          <w:sz w:val="24"/>
          <w:szCs w:val="24"/>
        </w:rPr>
        <w:t>,</w:t>
      </w:r>
      <w:r w:rsidR="00EF0EE9" w:rsidRPr="00CB6C65"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</w:rPr>
        <w:t>(Docket No.</w:t>
      </w:r>
      <w:proofErr w:type="gramEnd"/>
      <w:r>
        <w:rPr>
          <w:rFonts w:ascii="Times New Roman" w:hAnsi="Times New Roman"/>
          <w:color w:val="1F497D"/>
          <w:sz w:val="24"/>
          <w:szCs w:val="24"/>
        </w:rPr>
        <w:t xml:space="preserve"> OCN-L-1687</w:t>
      </w:r>
      <w:r w:rsidR="002367D2">
        <w:rPr>
          <w:rFonts w:ascii="Times New Roman" w:hAnsi="Times New Roman"/>
          <w:color w:val="1F497D"/>
          <w:sz w:val="24"/>
          <w:szCs w:val="24"/>
        </w:rPr>
        <w:t xml:space="preserve">, </w:t>
      </w:r>
      <w:r w:rsidR="004006C4">
        <w:rPr>
          <w:rFonts w:ascii="Times New Roman" w:hAnsi="Times New Roman"/>
          <w:color w:val="1F497D"/>
          <w:sz w:val="24"/>
          <w:szCs w:val="24"/>
        </w:rPr>
        <w:t>decided August 7, 2015</w:t>
      </w:r>
      <w:r w:rsidR="00853086">
        <w:rPr>
          <w:rFonts w:ascii="Times New Roman" w:hAnsi="Times New Roman"/>
          <w:color w:val="1F497D"/>
          <w:sz w:val="24"/>
          <w:szCs w:val="24"/>
        </w:rPr>
        <w:t>)</w:t>
      </w:r>
      <w:r w:rsidR="004006C4">
        <w:rPr>
          <w:rFonts w:ascii="Times New Roman" w:hAnsi="Times New Roman"/>
          <w:color w:val="1F497D"/>
          <w:sz w:val="24"/>
          <w:szCs w:val="24"/>
        </w:rPr>
        <w:t xml:space="preserve">, </w:t>
      </w:r>
      <w:r>
        <w:rPr>
          <w:rFonts w:ascii="Times New Roman" w:hAnsi="Times New Roman"/>
          <w:color w:val="1F497D"/>
          <w:sz w:val="24"/>
          <w:szCs w:val="24"/>
        </w:rPr>
        <w:t xml:space="preserve">this </w:t>
      </w:r>
      <w:r w:rsidR="00EF0EE9" w:rsidRPr="00CB6C65">
        <w:rPr>
          <w:rFonts w:ascii="Times New Roman" w:hAnsi="Times New Roman"/>
          <w:color w:val="1F497D"/>
          <w:sz w:val="24"/>
          <w:szCs w:val="24"/>
        </w:rPr>
        <w:t>parti</w:t>
      </w:r>
      <w:r>
        <w:rPr>
          <w:rFonts w:ascii="Times New Roman" w:hAnsi="Times New Roman"/>
          <w:color w:val="1F497D"/>
          <w:sz w:val="24"/>
          <w:szCs w:val="24"/>
        </w:rPr>
        <w:t>cular issue was</w:t>
      </w:r>
      <w:r w:rsidR="002367D2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853086">
        <w:rPr>
          <w:rFonts w:ascii="Times New Roman" w:hAnsi="Times New Roman"/>
          <w:color w:val="1F497D"/>
          <w:sz w:val="24"/>
          <w:szCs w:val="24"/>
        </w:rPr>
        <w:t xml:space="preserve">adjudicated for the first time.  The trial court judge concluded that if the granting of temporary immunity </w:t>
      </w:r>
      <w:r w:rsidR="002215BA">
        <w:rPr>
          <w:rFonts w:ascii="Times New Roman" w:hAnsi="Times New Roman"/>
          <w:color w:val="1F497D"/>
          <w:sz w:val="24"/>
          <w:szCs w:val="24"/>
        </w:rPr>
        <w:t>fr</w:t>
      </w:r>
      <w:r w:rsidR="00D92823">
        <w:rPr>
          <w:rFonts w:ascii="Times New Roman" w:hAnsi="Times New Roman"/>
          <w:color w:val="1F497D"/>
          <w:sz w:val="24"/>
          <w:szCs w:val="24"/>
        </w:rPr>
        <w:t>om builder’s remedy litigation (</w:t>
      </w:r>
      <w:r w:rsidR="002215BA">
        <w:rPr>
          <w:rFonts w:ascii="Times New Roman" w:hAnsi="Times New Roman"/>
          <w:color w:val="1F497D"/>
          <w:sz w:val="24"/>
          <w:szCs w:val="24"/>
        </w:rPr>
        <w:t>as contemplated</w:t>
      </w:r>
      <w:r w:rsidR="00D92823">
        <w:rPr>
          <w:rFonts w:ascii="Times New Roman" w:hAnsi="Times New Roman"/>
          <w:color w:val="1F497D"/>
          <w:sz w:val="24"/>
          <w:szCs w:val="24"/>
        </w:rPr>
        <w:t xml:space="preserve"> by our Supreme Court)</w:t>
      </w:r>
      <w:r w:rsidR="002215BA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853086">
        <w:rPr>
          <w:rFonts w:ascii="Times New Roman" w:hAnsi="Times New Roman"/>
          <w:color w:val="1F497D"/>
          <w:sz w:val="24"/>
          <w:szCs w:val="24"/>
        </w:rPr>
        <w:t>is to have any meaning</w:t>
      </w:r>
      <w:r w:rsidR="001F6BD5">
        <w:rPr>
          <w:rFonts w:ascii="Times New Roman" w:hAnsi="Times New Roman"/>
          <w:color w:val="1F497D"/>
          <w:sz w:val="24"/>
          <w:szCs w:val="24"/>
        </w:rPr>
        <w:t xml:space="preserve">, </w:t>
      </w:r>
      <w:r w:rsidR="002215BA">
        <w:rPr>
          <w:rFonts w:ascii="Times New Roman" w:hAnsi="Times New Roman"/>
          <w:color w:val="1F497D"/>
          <w:sz w:val="24"/>
          <w:szCs w:val="24"/>
        </w:rPr>
        <w:t xml:space="preserve">no counterclaim may be pursued </w:t>
      </w:r>
      <w:r w:rsidR="001F6BD5">
        <w:rPr>
          <w:rFonts w:ascii="Times New Roman" w:hAnsi="Times New Roman"/>
          <w:color w:val="1F497D"/>
          <w:sz w:val="24"/>
          <w:szCs w:val="24"/>
        </w:rPr>
        <w:t xml:space="preserve">at this time </w:t>
      </w:r>
      <w:r w:rsidR="002215BA">
        <w:rPr>
          <w:rFonts w:ascii="Times New Roman" w:hAnsi="Times New Roman"/>
          <w:color w:val="1F497D"/>
          <w:sz w:val="24"/>
          <w:szCs w:val="24"/>
        </w:rPr>
        <w:t xml:space="preserve">by FSHC </w:t>
      </w:r>
      <w:r w:rsidR="001F6BD5">
        <w:rPr>
          <w:rFonts w:ascii="Times New Roman" w:hAnsi="Times New Roman"/>
          <w:color w:val="1F497D"/>
          <w:sz w:val="24"/>
          <w:szCs w:val="24"/>
        </w:rPr>
        <w:t>(or any other third-</w:t>
      </w:r>
      <w:r w:rsidR="002215BA">
        <w:rPr>
          <w:rFonts w:ascii="Times New Roman" w:hAnsi="Times New Roman"/>
          <w:color w:val="1F497D"/>
          <w:sz w:val="24"/>
          <w:szCs w:val="24"/>
        </w:rPr>
        <w:t xml:space="preserve">party) for constitutional violations under the </w:t>
      </w:r>
      <w:r w:rsidR="002215BA" w:rsidRPr="002D50A5">
        <w:rPr>
          <w:rFonts w:ascii="Times New Roman" w:hAnsi="Times New Roman"/>
          <w:color w:val="1F497D"/>
          <w:sz w:val="24"/>
          <w:szCs w:val="24"/>
          <w:u w:val="single"/>
        </w:rPr>
        <w:t>New Jersey Civil Rights Act</w:t>
      </w:r>
      <w:r w:rsidR="002215BA">
        <w:rPr>
          <w:rFonts w:ascii="Times New Roman" w:hAnsi="Times New Roman"/>
          <w:color w:val="1F497D"/>
          <w:sz w:val="24"/>
          <w:szCs w:val="24"/>
        </w:rPr>
        <w:t>.</w:t>
      </w:r>
    </w:p>
    <w:p w:rsidR="00853086" w:rsidRDefault="00853086" w:rsidP="004A2E62">
      <w:pPr>
        <w:rPr>
          <w:rFonts w:ascii="Times New Roman" w:hAnsi="Times New Roman"/>
          <w:color w:val="1F497D"/>
          <w:sz w:val="24"/>
          <w:szCs w:val="24"/>
        </w:rPr>
      </w:pPr>
    </w:p>
    <w:p w:rsidR="00943021" w:rsidRDefault="002215BA" w:rsidP="00943021">
      <w:pPr>
        <w:pStyle w:val="NoSpacing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 xml:space="preserve">However, </w:t>
      </w:r>
      <w:r w:rsidR="00D92823">
        <w:rPr>
          <w:rFonts w:ascii="Times New Roman" w:hAnsi="Times New Roman"/>
          <w:color w:val="1F497D"/>
          <w:sz w:val="24"/>
          <w:szCs w:val="24"/>
        </w:rPr>
        <w:t>the</w:t>
      </w:r>
      <w:r w:rsidR="00BB2F1B">
        <w:rPr>
          <w:rFonts w:ascii="Times New Roman" w:hAnsi="Times New Roman"/>
          <w:color w:val="1F497D"/>
          <w:sz w:val="24"/>
          <w:szCs w:val="24"/>
        </w:rPr>
        <w:t xml:space="preserve"> trial court</w:t>
      </w:r>
      <w:r w:rsidR="002D50A5">
        <w:rPr>
          <w:rFonts w:ascii="Times New Roman" w:hAnsi="Times New Roman"/>
          <w:color w:val="1F497D"/>
          <w:sz w:val="24"/>
          <w:szCs w:val="24"/>
        </w:rPr>
        <w:t xml:space="preserve"> in </w:t>
      </w:r>
      <w:r w:rsidR="00D92823">
        <w:rPr>
          <w:rFonts w:ascii="Times New Roman" w:hAnsi="Times New Roman"/>
          <w:color w:val="1F497D"/>
          <w:sz w:val="24"/>
          <w:szCs w:val="24"/>
          <w:u w:val="single"/>
        </w:rPr>
        <w:t xml:space="preserve">Pine </w:t>
      </w:r>
      <w:r w:rsidR="00D92823" w:rsidRPr="00D92823">
        <w:rPr>
          <w:rFonts w:ascii="Times New Roman" w:hAnsi="Times New Roman"/>
          <w:color w:val="1F497D"/>
          <w:sz w:val="24"/>
          <w:szCs w:val="24"/>
          <w:u w:val="single"/>
        </w:rPr>
        <w:t>Beach</w:t>
      </w:r>
      <w:r w:rsidR="00D92823" w:rsidRPr="00D92823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2D50A5" w:rsidRPr="00D92823">
        <w:rPr>
          <w:rFonts w:ascii="Times New Roman" w:hAnsi="Times New Roman"/>
          <w:color w:val="1F497D"/>
          <w:sz w:val="24"/>
          <w:szCs w:val="24"/>
        </w:rPr>
        <w:t>did</w:t>
      </w:r>
      <w:r w:rsidR="002D50A5">
        <w:rPr>
          <w:rFonts w:ascii="Times New Roman" w:hAnsi="Times New Roman"/>
          <w:color w:val="1F497D"/>
          <w:sz w:val="24"/>
          <w:szCs w:val="24"/>
        </w:rPr>
        <w:t xml:space="preserve"> not rule out the possibility of attorney-fee shifting liability</w:t>
      </w:r>
      <w:r w:rsidR="00D92823">
        <w:rPr>
          <w:rFonts w:ascii="Times New Roman" w:hAnsi="Times New Roman"/>
          <w:color w:val="1F497D"/>
          <w:sz w:val="24"/>
          <w:szCs w:val="24"/>
        </w:rPr>
        <w:t xml:space="preserve"> to municipalities in the event </w:t>
      </w:r>
      <w:r w:rsidR="00BB2F1B">
        <w:rPr>
          <w:rFonts w:ascii="Times New Roman" w:hAnsi="Times New Roman"/>
          <w:color w:val="1F497D"/>
          <w:sz w:val="24"/>
          <w:szCs w:val="24"/>
        </w:rPr>
        <w:t xml:space="preserve">temporary </w:t>
      </w:r>
      <w:r w:rsidR="002D50A5" w:rsidRPr="002D50A5">
        <w:rPr>
          <w:rFonts w:ascii="Times New Roman" w:hAnsi="Times New Roman"/>
          <w:color w:val="1F497D"/>
          <w:sz w:val="24"/>
          <w:szCs w:val="24"/>
          <w:u w:val="single"/>
        </w:rPr>
        <w:t>Mount Laurel</w:t>
      </w:r>
      <w:r w:rsidR="002D50A5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BB2F1B" w:rsidRPr="002D50A5">
        <w:rPr>
          <w:rFonts w:ascii="Times New Roman" w:hAnsi="Times New Roman"/>
          <w:color w:val="1F497D"/>
          <w:sz w:val="24"/>
          <w:szCs w:val="24"/>
        </w:rPr>
        <w:t>immunity</w:t>
      </w:r>
      <w:r w:rsidR="00D92823">
        <w:rPr>
          <w:rFonts w:ascii="Times New Roman" w:hAnsi="Times New Roman"/>
          <w:color w:val="1F497D"/>
          <w:sz w:val="24"/>
          <w:szCs w:val="24"/>
        </w:rPr>
        <w:t xml:space="preserve"> later expires or is pierced by a successful litigation attack</w:t>
      </w:r>
      <w:r w:rsidR="00BB2F1B">
        <w:rPr>
          <w:rFonts w:ascii="Times New Roman" w:hAnsi="Times New Roman"/>
          <w:color w:val="1F497D"/>
          <w:sz w:val="24"/>
          <w:szCs w:val="24"/>
        </w:rPr>
        <w:t>.</w:t>
      </w:r>
      <w:r w:rsidR="002D50A5">
        <w:rPr>
          <w:rFonts w:ascii="Times New Roman" w:hAnsi="Times New Roman"/>
          <w:color w:val="1F497D"/>
          <w:sz w:val="24"/>
          <w:szCs w:val="24"/>
        </w:rPr>
        <w:t xml:space="preserve">  </w:t>
      </w:r>
      <w:r w:rsidR="00943021">
        <w:rPr>
          <w:rFonts w:ascii="Times New Roman" w:hAnsi="Times New Roman" w:cs="Times New Roman"/>
          <w:color w:val="1F497D"/>
          <w:sz w:val="24"/>
          <w:szCs w:val="24"/>
        </w:rPr>
        <w:t xml:space="preserve">The genesis of this new potential litigation tool of FSHC is the New Jersey Supreme Court’s decision last year in </w:t>
      </w:r>
      <w:proofErr w:type="spellStart"/>
      <w:r w:rsidR="00943021">
        <w:rPr>
          <w:rFonts w:ascii="Times New Roman" w:hAnsi="Times New Roman" w:cs="Times New Roman"/>
          <w:color w:val="1F497D"/>
          <w:sz w:val="24"/>
          <w:szCs w:val="24"/>
          <w:u w:val="single"/>
        </w:rPr>
        <w:t>Tumpson</w:t>
      </w:r>
      <w:proofErr w:type="spellEnd"/>
      <w:r w:rsidR="00943021">
        <w:rPr>
          <w:rFonts w:ascii="Times New Roman" w:hAnsi="Times New Roman" w:cs="Times New Roman"/>
          <w:color w:val="1F497D"/>
          <w:sz w:val="24"/>
          <w:szCs w:val="24"/>
          <w:u w:val="single"/>
        </w:rPr>
        <w:t xml:space="preserve"> v. Farina</w:t>
      </w:r>
      <w:r w:rsidR="00943021">
        <w:rPr>
          <w:rFonts w:ascii="Times New Roman" w:hAnsi="Times New Roman" w:cs="Times New Roman"/>
          <w:color w:val="1F497D"/>
          <w:sz w:val="24"/>
          <w:szCs w:val="24"/>
        </w:rPr>
        <w:t xml:space="preserve">, 218 </w:t>
      </w:r>
      <w:r w:rsidR="00943021">
        <w:rPr>
          <w:rFonts w:ascii="Times New Roman" w:hAnsi="Times New Roman" w:cs="Times New Roman"/>
          <w:color w:val="1F497D"/>
          <w:sz w:val="24"/>
          <w:szCs w:val="24"/>
          <w:u w:val="single"/>
        </w:rPr>
        <w:t>N.J.</w:t>
      </w:r>
      <w:r w:rsidR="00943021">
        <w:rPr>
          <w:rFonts w:ascii="Times New Roman" w:hAnsi="Times New Roman" w:cs="Times New Roman"/>
          <w:color w:val="1F497D"/>
          <w:sz w:val="24"/>
          <w:szCs w:val="24"/>
        </w:rPr>
        <w:t xml:space="preserve"> 450 (2014).  In this very important, yet less heralded opinion, our Supreme Court held that a violation of a substantive right under New Jersey’s Constitution amounts to a violation of the </w:t>
      </w:r>
      <w:r w:rsidR="00943021" w:rsidRPr="006B04E7">
        <w:rPr>
          <w:rFonts w:ascii="Times New Roman" w:hAnsi="Times New Roman" w:cs="Times New Roman"/>
          <w:color w:val="1F497D"/>
          <w:sz w:val="24"/>
          <w:szCs w:val="24"/>
          <w:u w:val="single"/>
        </w:rPr>
        <w:t>New Jersey Civil Rights Act</w:t>
      </w:r>
      <w:r w:rsidR="00943021">
        <w:rPr>
          <w:rFonts w:ascii="Times New Roman" w:hAnsi="Times New Roman" w:cs="Times New Roman"/>
          <w:color w:val="1F497D"/>
          <w:sz w:val="24"/>
          <w:szCs w:val="24"/>
        </w:rPr>
        <w:t xml:space="preserve">.  In </w:t>
      </w:r>
      <w:proofErr w:type="spellStart"/>
      <w:r w:rsidR="00943021">
        <w:rPr>
          <w:rFonts w:ascii="Times New Roman" w:hAnsi="Times New Roman" w:cs="Times New Roman"/>
          <w:color w:val="1F497D"/>
          <w:sz w:val="24"/>
          <w:szCs w:val="24"/>
          <w:u w:val="single"/>
        </w:rPr>
        <w:t>Tumpson</w:t>
      </w:r>
      <w:proofErr w:type="spellEnd"/>
      <w:r w:rsidR="00943021">
        <w:rPr>
          <w:rFonts w:ascii="Times New Roman" w:hAnsi="Times New Roman" w:cs="Times New Roman"/>
          <w:color w:val="1F497D"/>
          <w:sz w:val="24"/>
          <w:szCs w:val="24"/>
        </w:rPr>
        <w:t xml:space="preserve">, the Supreme Court found that a municipal clerk’s improper denial of a referendum petition violated a resident’s substantive rights under the New Jersey Constitution and warranted the imposition of attorney’s fees against the municipality.  </w:t>
      </w:r>
    </w:p>
    <w:p w:rsidR="00943021" w:rsidRDefault="00943021" w:rsidP="00943021">
      <w:pPr>
        <w:pStyle w:val="NoSpacing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43021" w:rsidRPr="00FE5427" w:rsidRDefault="00943021" w:rsidP="009430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The underpinnings of the </w:t>
      </w:r>
      <w:r>
        <w:rPr>
          <w:rFonts w:ascii="Times New Roman" w:hAnsi="Times New Roman" w:cs="Times New Roman"/>
          <w:color w:val="1F497D"/>
          <w:sz w:val="24"/>
          <w:szCs w:val="24"/>
          <w:u w:val="single"/>
        </w:rPr>
        <w:t>Mount Laurel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Doctrine stem directly from our Supreme Court’</w:t>
      </w:r>
      <w:r w:rsidR="002D50A5">
        <w:rPr>
          <w:rFonts w:ascii="Times New Roman" w:hAnsi="Times New Roman" w:cs="Times New Roman"/>
          <w:color w:val="1F497D"/>
          <w:sz w:val="24"/>
          <w:szCs w:val="24"/>
        </w:rPr>
        <w:t>s interpretation of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the New Jersey Constitution</w:t>
      </w:r>
      <w:r w:rsidR="00305002">
        <w:rPr>
          <w:rFonts w:ascii="Times New Roman" w:hAnsi="Times New Roman" w:cs="Times New Roman"/>
          <w:color w:val="1F497D"/>
          <w:sz w:val="24"/>
          <w:szCs w:val="24"/>
        </w:rPr>
        <w:t xml:space="preserve"> guaranteeing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the right of citizens to pursue a realistic opportunity </w:t>
      </w:r>
      <w:r w:rsidR="002D50A5">
        <w:rPr>
          <w:rFonts w:ascii="Times New Roman" w:hAnsi="Times New Roman" w:cs="Times New Roman"/>
          <w:color w:val="1F497D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affordable housing.  If this legal issue is successfully litigated by FSHC, New Jersey municipalities may </w:t>
      </w:r>
      <w:r w:rsidR="00D92823">
        <w:rPr>
          <w:rFonts w:ascii="Times New Roman" w:hAnsi="Times New Roman" w:cs="Times New Roman"/>
          <w:color w:val="1F497D"/>
          <w:sz w:val="24"/>
          <w:szCs w:val="24"/>
        </w:rPr>
        <w:t>be susceptible to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a floodgate of </w:t>
      </w:r>
      <w:r w:rsidR="00D92823">
        <w:rPr>
          <w:rFonts w:ascii="Times New Roman" w:hAnsi="Times New Roman" w:cs="Times New Roman"/>
          <w:color w:val="1F497D"/>
          <w:sz w:val="24"/>
          <w:szCs w:val="24"/>
        </w:rPr>
        <w:t xml:space="preserve">new </w:t>
      </w:r>
      <w:r>
        <w:rPr>
          <w:rFonts w:ascii="Times New Roman" w:hAnsi="Times New Roman" w:cs="Times New Roman"/>
          <w:color w:val="1F497D"/>
          <w:sz w:val="24"/>
          <w:szCs w:val="24"/>
          <w:u w:val="single"/>
        </w:rPr>
        <w:t>Mount Laurel</w:t>
      </w:r>
      <w:r w:rsidR="00D92823">
        <w:rPr>
          <w:rFonts w:ascii="Times New Roman" w:hAnsi="Times New Roman" w:cs="Times New Roman"/>
          <w:color w:val="1F497D"/>
          <w:sz w:val="24"/>
          <w:szCs w:val="24"/>
        </w:rPr>
        <w:t xml:space="preserve"> litigation</w:t>
      </w:r>
      <w:r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="00305002">
        <w:rPr>
          <w:rFonts w:ascii="Times New Roman" w:hAnsi="Times New Roman" w:cs="Times New Roman"/>
          <w:color w:val="1F497D"/>
          <w:sz w:val="24"/>
          <w:szCs w:val="24"/>
        </w:rPr>
        <w:t xml:space="preserve">  A new incentive will exist to pursue such lawsuits by developers and affordable non-profits.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823179" w:rsidRDefault="00823179" w:rsidP="004A2E62">
      <w:pPr>
        <w:rPr>
          <w:rFonts w:ascii="Times New Roman" w:hAnsi="Times New Roman"/>
          <w:color w:val="1F497D"/>
          <w:sz w:val="24"/>
          <w:szCs w:val="24"/>
        </w:rPr>
      </w:pPr>
    </w:p>
    <w:p w:rsidR="00EF0EE9" w:rsidRPr="00CB6C65" w:rsidRDefault="00D92823" w:rsidP="004A2E6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Particularly vulnerable would be r</w:t>
      </w:r>
      <w:r w:rsidR="00CB6C65" w:rsidRPr="00CB6C65">
        <w:rPr>
          <w:rFonts w:ascii="Times New Roman" w:hAnsi="Times New Roman"/>
          <w:color w:val="1F497D"/>
          <w:sz w:val="24"/>
          <w:szCs w:val="24"/>
        </w:rPr>
        <w:t xml:space="preserve">emote and lesser developed </w:t>
      </w:r>
      <w:r w:rsidR="00EF0EE9" w:rsidRPr="00CB6C65">
        <w:rPr>
          <w:rFonts w:ascii="Times New Roman" w:hAnsi="Times New Roman"/>
          <w:color w:val="1F497D"/>
          <w:sz w:val="24"/>
          <w:szCs w:val="24"/>
        </w:rPr>
        <w:t>municipalities</w:t>
      </w:r>
      <w:r w:rsidR="008B6912">
        <w:rPr>
          <w:rFonts w:ascii="Times New Roman" w:hAnsi="Times New Roman"/>
          <w:color w:val="1F497D"/>
          <w:sz w:val="24"/>
          <w:szCs w:val="24"/>
        </w:rPr>
        <w:t>,</w:t>
      </w:r>
      <w:r w:rsidR="00EF0EE9" w:rsidRPr="00CB6C65">
        <w:rPr>
          <w:rFonts w:ascii="Times New Roman" w:hAnsi="Times New Roman"/>
          <w:color w:val="1F497D"/>
          <w:sz w:val="24"/>
          <w:szCs w:val="24"/>
        </w:rPr>
        <w:t xml:space="preserve"> which have relied upon </w:t>
      </w:r>
      <w:r w:rsidR="0007229D">
        <w:rPr>
          <w:rFonts w:ascii="Times New Roman" w:hAnsi="Times New Roman"/>
          <w:color w:val="1F497D"/>
          <w:sz w:val="24"/>
          <w:szCs w:val="24"/>
        </w:rPr>
        <w:t>fortuitous demographics</w:t>
      </w:r>
      <w:r w:rsidR="00CB6C65" w:rsidRPr="00CB6C65">
        <w:rPr>
          <w:rFonts w:ascii="Times New Roman" w:hAnsi="Times New Roman"/>
          <w:color w:val="1F497D"/>
          <w:sz w:val="24"/>
          <w:szCs w:val="24"/>
        </w:rPr>
        <w:t xml:space="preserve"> (e.g.</w:t>
      </w:r>
      <w:r w:rsidR="00EF0EE9" w:rsidRPr="00CB6C65">
        <w:rPr>
          <w:rFonts w:ascii="Times New Roman" w:hAnsi="Times New Roman"/>
          <w:color w:val="1F497D"/>
          <w:sz w:val="24"/>
          <w:szCs w:val="24"/>
        </w:rPr>
        <w:t xml:space="preserve"> lack of public sewer</w:t>
      </w:r>
      <w:r w:rsidR="0007229D">
        <w:rPr>
          <w:rFonts w:ascii="Times New Roman" w:hAnsi="Times New Roman"/>
          <w:color w:val="1F497D"/>
          <w:sz w:val="24"/>
          <w:szCs w:val="24"/>
        </w:rPr>
        <w:t xml:space="preserve"> and/or outside</w:t>
      </w:r>
      <w:r w:rsidR="00CB6C65" w:rsidRPr="00CB6C65">
        <w:rPr>
          <w:rFonts w:ascii="Times New Roman" w:hAnsi="Times New Roman"/>
          <w:color w:val="1F497D"/>
          <w:sz w:val="24"/>
          <w:szCs w:val="24"/>
        </w:rPr>
        <w:t xml:space="preserve"> path of </w:t>
      </w:r>
      <w:r w:rsidR="0007229D">
        <w:rPr>
          <w:rFonts w:ascii="Times New Roman" w:hAnsi="Times New Roman"/>
          <w:color w:val="1F497D"/>
          <w:sz w:val="24"/>
          <w:szCs w:val="24"/>
        </w:rPr>
        <w:t xml:space="preserve">State’s targeted </w:t>
      </w:r>
      <w:r w:rsidR="00CB6C65" w:rsidRPr="00CB6C65">
        <w:rPr>
          <w:rFonts w:ascii="Times New Roman" w:hAnsi="Times New Roman"/>
          <w:color w:val="1F497D"/>
          <w:sz w:val="24"/>
          <w:szCs w:val="24"/>
        </w:rPr>
        <w:t>growth</w:t>
      </w:r>
      <w:r w:rsidR="0007229D">
        <w:rPr>
          <w:rFonts w:ascii="Times New Roman" w:hAnsi="Times New Roman"/>
          <w:color w:val="1F497D"/>
          <w:sz w:val="24"/>
          <w:szCs w:val="24"/>
        </w:rPr>
        <w:t xml:space="preserve"> areas</w:t>
      </w:r>
      <w:r w:rsidR="00305002">
        <w:rPr>
          <w:rFonts w:ascii="Times New Roman" w:hAnsi="Times New Roman"/>
          <w:color w:val="1F497D"/>
          <w:sz w:val="24"/>
          <w:szCs w:val="24"/>
        </w:rPr>
        <w:t xml:space="preserve">) </w:t>
      </w:r>
      <w:r>
        <w:rPr>
          <w:rFonts w:ascii="Times New Roman" w:hAnsi="Times New Roman"/>
          <w:color w:val="1F497D"/>
          <w:sz w:val="24"/>
          <w:szCs w:val="24"/>
        </w:rPr>
        <w:t>to</w:t>
      </w:r>
      <w:r w:rsidR="002D50A5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1F6BD5">
        <w:rPr>
          <w:rFonts w:ascii="Times New Roman" w:hAnsi="Times New Roman"/>
          <w:color w:val="1F497D"/>
          <w:sz w:val="24"/>
          <w:szCs w:val="24"/>
        </w:rPr>
        <w:t>not pursue</w:t>
      </w:r>
      <w:r w:rsidR="00CB6C65" w:rsidRPr="00CB6C65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CB6C65" w:rsidRPr="00CB6C65">
        <w:rPr>
          <w:rFonts w:ascii="Times New Roman" w:hAnsi="Times New Roman"/>
          <w:color w:val="1F497D"/>
          <w:sz w:val="24"/>
          <w:szCs w:val="24"/>
          <w:u w:val="single"/>
        </w:rPr>
        <w:t>Mount Laurel</w:t>
      </w:r>
      <w:r w:rsidR="00CB6C65" w:rsidRPr="00CB6C65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1F6BD5">
        <w:rPr>
          <w:rFonts w:ascii="Times New Roman" w:hAnsi="Times New Roman"/>
          <w:color w:val="1F497D"/>
          <w:sz w:val="24"/>
          <w:szCs w:val="24"/>
        </w:rPr>
        <w:t>compliance</w:t>
      </w:r>
      <w:r w:rsidR="00CB6C65" w:rsidRPr="00CB6C65">
        <w:rPr>
          <w:rFonts w:ascii="Times New Roman" w:hAnsi="Times New Roman"/>
          <w:color w:val="1F497D"/>
          <w:sz w:val="24"/>
          <w:szCs w:val="24"/>
        </w:rPr>
        <w:t>.</w:t>
      </w:r>
      <w:r w:rsidR="00777314">
        <w:rPr>
          <w:rFonts w:ascii="Times New Roman" w:hAnsi="Times New Roman"/>
          <w:color w:val="1F497D"/>
          <w:sz w:val="24"/>
          <w:szCs w:val="24"/>
        </w:rPr>
        <w:t xml:space="preserve">  Other municipalities, pursuing declaratory relief for temporary immunity to amend their housing plans, should be aware that if their efforts at adopting a compliance plan fall short of the constitutional mark, they could be paying the legal fees for both sides.</w:t>
      </w:r>
      <w:r w:rsidR="00BF31B4" w:rsidRPr="00CB6C65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C809FA" w:rsidRDefault="00C809FA" w:rsidP="004A2E62">
      <w:pPr>
        <w:pStyle w:val="NoSpacing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sectPr w:rsidR="00C8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FA"/>
    <w:rsid w:val="0007229D"/>
    <w:rsid w:val="00072471"/>
    <w:rsid w:val="00114C0E"/>
    <w:rsid w:val="001175DA"/>
    <w:rsid w:val="001C47E4"/>
    <w:rsid w:val="001F6BD5"/>
    <w:rsid w:val="002215BA"/>
    <w:rsid w:val="002367D2"/>
    <w:rsid w:val="002D50A5"/>
    <w:rsid w:val="00305002"/>
    <w:rsid w:val="003B1DEB"/>
    <w:rsid w:val="003C14B1"/>
    <w:rsid w:val="004006C4"/>
    <w:rsid w:val="004A2E62"/>
    <w:rsid w:val="0056682E"/>
    <w:rsid w:val="005A7C10"/>
    <w:rsid w:val="006203E0"/>
    <w:rsid w:val="006953A4"/>
    <w:rsid w:val="006B04E7"/>
    <w:rsid w:val="006D5584"/>
    <w:rsid w:val="00777314"/>
    <w:rsid w:val="00791C50"/>
    <w:rsid w:val="0082164C"/>
    <w:rsid w:val="00823179"/>
    <w:rsid w:val="00853086"/>
    <w:rsid w:val="00885AC7"/>
    <w:rsid w:val="008B6912"/>
    <w:rsid w:val="008E58D7"/>
    <w:rsid w:val="00943021"/>
    <w:rsid w:val="0098056B"/>
    <w:rsid w:val="00992F66"/>
    <w:rsid w:val="009F16B5"/>
    <w:rsid w:val="00A11FB2"/>
    <w:rsid w:val="00A90746"/>
    <w:rsid w:val="00AE7110"/>
    <w:rsid w:val="00BB2F1B"/>
    <w:rsid w:val="00BF31B4"/>
    <w:rsid w:val="00C809FA"/>
    <w:rsid w:val="00CB6C65"/>
    <w:rsid w:val="00D92823"/>
    <w:rsid w:val="00DC15D9"/>
    <w:rsid w:val="00EF0EE9"/>
    <w:rsid w:val="00F90C02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04FA-C735-4D68-A67B-49A3A6D7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Norman</dc:creator>
  <cp:lastModifiedBy>Chris Norman</cp:lastModifiedBy>
  <cp:revision>3</cp:revision>
  <cp:lastPrinted>2015-08-10T14:23:00Z</cp:lastPrinted>
  <dcterms:created xsi:type="dcterms:W3CDTF">2015-08-12T14:27:00Z</dcterms:created>
  <dcterms:modified xsi:type="dcterms:W3CDTF">2015-08-12T14:27:00Z</dcterms:modified>
</cp:coreProperties>
</file>